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Vertiv Investment Committee Brief</w:t>
      </w:r>
    </w:p>
    <w:p>
      <w:r>
        <w:t>NYSE VRT  ·  Evidence reviewed 21 September 2026  ·  12 month valuation horizon</w:t>
      </w:r>
    </w:p>
    <w:p>
      <w:r>
        <w:rPr>
          <w:b/>
        </w:rPr>
        <w:t>Decision proposed:</w:t>
      </w:r>
      <w:r>
        <w:t xml:space="preserve"> retain on the research watchlist at the illustrative $240 entry price. The Base case offers 6.25% price upside against a 15% underwriting hurdle. Reconsider at or below $221.74 if the operating case remains intact, or when evidence supports higher sustainable earnings.</w:t>
      </w:r>
    </w:p>
    <w:p>
      <w:r>
        <w:t>Valuation inputs are illustrative analyst assumptions, not a live share price, consensus estimates or company guidance. Reported evidence and management guidance are identified separately throughout.</w:t>
      </w:r>
    </w:p>
    <w:p>
      <w:pPr>
        <w:pStyle w:val="Heading2"/>
      </w:pPr>
      <w:r>
        <w:t>The investment case</w:t>
      </w:r>
    </w:p>
    <w:p>
      <w:r>
        <w:t>Our hypothesis is that Vertiv can turn deployment complexity into durable earnings through delivery capability and a broader power and thermal offering. The investment case depends on execution and cash retention after expansion spending. Industry growth alone cannot establish an attractive entry valuation.</w:t>
      </w:r>
    </w:p>
    <w:tbl>
      <w:tblPr>
        <w:tblW w:type="auto" w:w="0"/>
        <w:jc w:val="center"/>
        <w:tblLayout w:type="fixed"/>
        <w:tblLook w:firstColumn="1" w:firstRow="1" w:lastColumn="0" w:lastRow="0" w:noHBand="0" w:noVBand="1" w:val="04A0"/>
      </w:tblPr>
      <w:tblGrid>
        <w:gridCol w:w="5040"/>
        <w:gridCol w:w="2448"/>
        <w:gridCol w:w="2736"/>
      </w:tblGrid>
      <w:tr>
        <w:trPr>
          <w:cantSplit/>
          <w:tblHeader/>
        </w:trPr>
        <w:tc>
          <w:tcPr>
            <w:tcW w:type="dxa" w:w="5040"/>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Published evidence</w:t>
            </w:r>
          </w:p>
        </w:tc>
        <w:tc>
          <w:tcPr>
            <w:tcW w:type="dxa" w:w="2448"/>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Figure</w:t>
            </w:r>
          </w:p>
        </w:tc>
        <w:tc>
          <w:tcPr>
            <w:tcW w:type="dxa" w:w="2736"/>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Basis</w:t>
            </w:r>
          </w:p>
        </w:tc>
      </w:tr>
      <w:tr>
        <w:trPr>
          <w:cantSplit/>
        </w:trPr>
        <w:tc>
          <w:tcPr>
            <w:tcW w:type="dxa" w:w="504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Q2 2026 sales</w:t>
            </w:r>
          </w:p>
        </w:tc>
        <w:tc>
          <w:tcPr>
            <w:tcW w:type="dxa" w:w="244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$3.274bn</w:t>
            </w:r>
          </w:p>
        </w:tc>
        <w:tc>
          <w:tcPr>
            <w:tcW w:type="dxa" w:w="273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Reported [1]</w:t>
            </w:r>
          </w:p>
        </w:tc>
      </w:tr>
      <w:tr>
        <w:trPr>
          <w:cantSplit/>
        </w:trPr>
        <w:tc>
          <w:tcPr>
            <w:tcW w:type="dxa" w:w="504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Q2 adjusted operating margin</w:t>
            </w:r>
          </w:p>
        </w:tc>
        <w:tc>
          <w:tcPr>
            <w:tcW w:type="dxa" w:w="24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22.6%</w:t>
            </w:r>
          </w:p>
        </w:tc>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Non GAAP [1]</w:t>
            </w:r>
          </w:p>
        </w:tc>
      </w:tr>
      <w:tr>
        <w:trPr>
          <w:cantSplit/>
        </w:trPr>
        <w:tc>
          <w:tcPr>
            <w:tcW w:type="dxa" w:w="504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FY2026 adjusted EPS</w:t>
            </w:r>
          </w:p>
        </w:tc>
        <w:tc>
          <w:tcPr>
            <w:tcW w:type="dxa" w:w="244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$6.65–$6.75</w:t>
            </w:r>
          </w:p>
        </w:tc>
        <w:tc>
          <w:tcPr>
            <w:tcW w:type="dxa" w:w="273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Management guidance [1]</w:t>
            </w:r>
          </w:p>
        </w:tc>
      </w:tr>
      <w:tr>
        <w:trPr>
          <w:cantSplit/>
        </w:trPr>
        <w:tc>
          <w:tcPr>
            <w:tcW w:type="dxa" w:w="504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FY2026 adjusted free cash flow</w:t>
            </w:r>
          </w:p>
        </w:tc>
        <w:tc>
          <w:tcPr>
            <w:tcW w:type="dxa" w:w="24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$2.4–$2.6bn</w:t>
            </w:r>
          </w:p>
        </w:tc>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Management guidance [1]</w:t>
            </w:r>
          </w:p>
        </w:tc>
      </w:tr>
    </w:tbl>
    <w:p>
      <w:pPr>
        <w:spacing w:after="0"/>
      </w:pPr>
    </w:p>
    <w:p>
      <w:pPr>
        <w:pStyle w:val="Heading2"/>
      </w:pPr>
      <w:r>
        <w:t>The objection the committee must resolve</w:t>
      </w:r>
    </w:p>
    <w:p>
      <w:r>
        <w:t>Strong operating delivery can coexist with a disappointing investment return. At our $240 reference price and 30x exit multiple, a 15% return requires $9.20 of adjusted EPS. That exceeds our $8.50 Base assumption. The committee must justify the earnings gap or require a lower entry price; a higher multiple alone would weaken the discipline.</w:t>
      </w:r>
    </w:p>
    <w:p>
      <w:pPr>
        <w:pStyle w:val="Heading2"/>
      </w:pPr>
      <w:r>
        <w:t>What would change the decision</w:t>
      </w:r>
    </w:p>
    <w:p>
      <w:r>
        <w:t>Revisit the entry when the Base valuation meets the hurdle and delivery remains credible. Reopen the operating case if cash generation depends on temporary working capital benefits or delayed projects. Treat the proposed UIG acquisition as a separate capital allocation decision, including contingent payments, before assigning it incremental value.</w:t>
      </w:r>
    </w:p>
    <w:p>
      <w:r>
        <w:br w:type="page"/>
      </w:r>
    </w:p>
    <w:p>
      <w:pPr>
        <w:pStyle w:val="Heading1"/>
      </w:pPr>
      <w:r>
        <w:t>Underwriting and valuation</w:t>
      </w:r>
    </w:p>
    <w:p>
      <w:r>
        <w:t>The following cases test valuation discipline over 12 months using illustrative FY2027 adjusted EPS and exit P/E assumptions. They are standalone underwriting cases, not probability weighted forecasts. No separate UIG accretion is credited.</w:t>
      </w:r>
    </w:p>
    <w:tbl>
      <w:tblPr>
        <w:tblW w:type="auto" w:w="0"/>
        <w:jc w:val="center"/>
        <w:tblLayout w:type="fixed"/>
        <w:tblLook w:firstColumn="1" w:firstRow="1" w:lastColumn="0" w:lastRow="0" w:noHBand="0" w:noVBand="1" w:val="04A0"/>
      </w:tblPr>
      <w:tblGrid>
        <w:gridCol w:w="1872"/>
        <w:gridCol w:w="2016"/>
        <w:gridCol w:w="1728"/>
        <w:gridCol w:w="2304"/>
        <w:gridCol w:w="2304"/>
      </w:tblGrid>
      <w:tr>
        <w:trPr>
          <w:cantSplit/>
          <w:tblHeader/>
        </w:trPr>
        <w:tc>
          <w:tcPr>
            <w:tcW w:type="dxa" w:w="1872"/>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Case</w:t>
            </w:r>
          </w:p>
        </w:tc>
        <w:tc>
          <w:tcPr>
            <w:tcW w:type="dxa" w:w="2016"/>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FY2027 EPS</w:t>
            </w:r>
          </w:p>
        </w:tc>
        <w:tc>
          <w:tcPr>
            <w:tcW w:type="dxa" w:w="1728"/>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Exit P/E</w:t>
            </w:r>
          </w:p>
        </w:tc>
        <w:tc>
          <w:tcPr>
            <w:tcW w:type="dxa" w:w="2304"/>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Equity value</w:t>
            </w:r>
          </w:p>
        </w:tc>
        <w:tc>
          <w:tcPr>
            <w:tcW w:type="dxa" w:w="2304"/>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Price return</w:t>
            </w:r>
          </w:p>
        </w:tc>
      </w:tr>
      <w:tr>
        <w:trPr>
          <w:cantSplit/>
        </w:trPr>
        <w:tc>
          <w:tcPr>
            <w:tcW w:type="dxa" w:w="1872"/>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Downside</w:t>
            </w:r>
          </w:p>
        </w:tc>
        <w:tc>
          <w:tcPr>
            <w:tcW w:type="dxa" w:w="201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$6.70</w:t>
            </w:r>
          </w:p>
        </w:tc>
        <w:tc>
          <w:tcPr>
            <w:tcW w:type="dxa" w:w="172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25x</w:t>
            </w:r>
          </w:p>
        </w:tc>
        <w:tc>
          <w:tcPr>
            <w:tcW w:type="dxa" w:w="2304"/>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$167.50</w:t>
            </w:r>
          </w:p>
        </w:tc>
        <w:tc>
          <w:tcPr>
            <w:tcW w:type="dxa" w:w="2304"/>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-30.21%</w:t>
            </w:r>
          </w:p>
        </w:tc>
      </w:tr>
      <w:tr>
        <w:trPr>
          <w:cantSplit/>
        </w:trPr>
        <w:tc>
          <w:tcPr>
            <w:tcW w:type="dxa" w:w="187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Base</w:t>
            </w:r>
          </w:p>
        </w:tc>
        <w:tc>
          <w:tcPr>
            <w:tcW w:type="dxa" w:w="20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$8.50</w:t>
            </w:r>
          </w:p>
        </w:tc>
        <w:tc>
          <w:tcPr>
            <w:tcW w:type="dxa" w:w="17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30x</w:t>
            </w:r>
          </w:p>
        </w:tc>
        <w:tc>
          <w:tcPr>
            <w:tcW w:type="dxa" w:w="230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$255.00</w:t>
            </w:r>
          </w:p>
        </w:tc>
        <w:tc>
          <w:tcPr>
            <w:tcW w:type="dxa" w:w="230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+6.25%</w:t>
            </w:r>
          </w:p>
        </w:tc>
      </w:tr>
      <w:tr>
        <w:trPr>
          <w:cantSplit/>
        </w:trPr>
        <w:tc>
          <w:tcPr>
            <w:tcW w:type="dxa" w:w="1872"/>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Upside</w:t>
            </w:r>
          </w:p>
        </w:tc>
        <w:tc>
          <w:tcPr>
            <w:tcW w:type="dxa" w:w="201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$10.00</w:t>
            </w:r>
          </w:p>
        </w:tc>
        <w:tc>
          <w:tcPr>
            <w:tcW w:type="dxa" w:w="172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35x</w:t>
            </w:r>
          </w:p>
        </w:tc>
        <w:tc>
          <w:tcPr>
            <w:tcW w:type="dxa" w:w="2304"/>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$350.00</w:t>
            </w:r>
          </w:p>
        </w:tc>
        <w:tc>
          <w:tcPr>
            <w:tcW w:type="dxa" w:w="2304"/>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+45.83%</w:t>
            </w:r>
          </w:p>
        </w:tc>
      </w:tr>
    </w:tbl>
    <w:p>
      <w:pPr>
        <w:spacing w:after="0"/>
      </w:pPr>
    </w:p>
    <w:p>
      <w:r>
        <w:t>Method: equity value per share = adjusted EPS × exit P/E. Price return = equity value / $240 − 1. USD per share; dividends, fees and taxes excluded. EPS, multiples and the 15% hurdle are assumptions set for this example.</w:t>
      </w:r>
    </w:p>
    <w:p>
      <w:pPr>
        <w:pStyle w:val="Heading2"/>
      </w:pPr>
      <w:r>
        <w:t>What each case requires</w:t>
      </w:r>
    </w:p>
    <w:p>
      <w:r>
        <w:t>Downside assumes earnings stall near the FY2026 guidance midpoint and the exit multiple falls to 25x. Base requires approximately 27% EPS growth from that midpoint to $8.50, with a 30x multiple. Upside requires approximately 49% growth to $10.00 and a 35x multiple. These requirements make the degree of optimism visible rather than treating every outcome as equally likely.</w:t>
      </w:r>
    </w:p>
    <w:p>
      <w:pPr>
        <w:pStyle w:val="Heading2"/>
      </w:pPr>
      <w:r>
        <w:t>Price discipline</w:t>
      </w:r>
    </w:p>
    <w:tbl>
      <w:tblPr>
        <w:tblW w:type="auto" w:w="0"/>
        <w:jc w:val="center"/>
        <w:tblLayout w:type="fixed"/>
        <w:tblLook w:firstColumn="1" w:firstRow="1" w:lastColumn="0" w:lastRow="0" w:noHBand="0" w:noVBand="1" w:val="04A0"/>
      </w:tblPr>
      <w:tblGrid>
        <w:gridCol w:w="4608"/>
        <w:gridCol w:w="3456"/>
        <w:gridCol w:w="2160"/>
      </w:tblGrid>
      <w:tr>
        <w:trPr>
          <w:cantSplit/>
          <w:tblHeader/>
        </w:trPr>
        <w:tc>
          <w:tcPr>
            <w:tcW w:type="dxa" w:w="4608"/>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Question</w:t>
            </w:r>
          </w:p>
        </w:tc>
        <w:tc>
          <w:tcPr>
            <w:tcW w:type="dxa" w:w="3456"/>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Calculation</w:t>
            </w:r>
          </w:p>
        </w:tc>
        <w:tc>
          <w:tcPr>
            <w:tcW w:type="dxa" w:w="2160"/>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Result</w:t>
            </w:r>
          </w:p>
        </w:tc>
      </w:tr>
      <w:tr>
        <w:trPr>
          <w:cantSplit/>
        </w:trPr>
        <w:tc>
          <w:tcPr>
            <w:tcW w:type="dxa" w:w="460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Maximum entry for the Base hurdle</w:t>
            </w:r>
          </w:p>
        </w:tc>
        <w:tc>
          <w:tcPr>
            <w:tcW w:type="dxa" w:w="345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$255 / 1.15</w:t>
            </w:r>
          </w:p>
        </w:tc>
        <w:tc>
          <w:tcPr>
            <w:tcW w:type="dxa" w:w="216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$221.74</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EPS needed for 15% at $240 and 30x</w:t>
            </w:r>
          </w:p>
        </w:tc>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$240 × 1.15 / 30</w:t>
            </w:r>
          </w:p>
        </w:tc>
        <w:tc>
          <w:tcPr>
            <w:tcW w:type="dxa" w:w="216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$9.20</w:t>
            </w:r>
          </w:p>
        </w:tc>
      </w:tr>
      <w:tr>
        <w:trPr>
          <w:cantSplit/>
        </w:trPr>
        <w:tc>
          <w:tcPr>
            <w:tcW w:type="dxa" w:w="4608"/>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Return if Base EPS earns only 25x</w:t>
            </w:r>
          </w:p>
        </w:tc>
        <w:tc>
          <w:tcPr>
            <w:tcW w:type="dxa" w:w="345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$8.50 × 25 / $240 − 1</w:t>
            </w:r>
          </w:p>
        </w:tc>
        <w:tc>
          <w:tcPr>
            <w:tcW w:type="dxa" w:w="216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−11.5%</w:t>
            </w:r>
          </w:p>
        </w:tc>
      </w:tr>
    </w:tbl>
    <w:p>
      <w:pPr>
        <w:spacing w:after="0"/>
      </w:pPr>
    </w:p>
    <w:p>
      <w:pPr>
        <w:pStyle w:val="Heading2"/>
      </w:pPr>
      <w:r>
        <w:t>Cash quality and acquisition discipline</w:t>
      </w:r>
    </w:p>
    <w:p>
      <w:r>
        <w:t>Q2 operating cash flow of $1,099.8m included a $451.0m benefit from operating working capital, approximately 41% by calculation. [1] Our interpretation: test repeatability before annualising the quarter. Track receivables, inventory, customer advances and expansion capex through the full year.</w:t>
      </w:r>
    </w:p>
    <w:p>
      <w:r>
        <w:t>The UIG agreement includes about $1.45bn at closing plus up to $1.15bn of contingent consideration; completion is expected in Q4 2026, subject to approvals and conditions. [3] Assess returns against up to $2.60bn of consideration by calculation, while matching each payment to the earnings that trigger it. Do not treat the earnout as an unconditional cash outflow.</w:t>
      </w:r>
    </w:p>
    <w:p>
      <w:r>
        <w:br w:type="page"/>
      </w:r>
    </w:p>
    <w:p>
      <w:pPr>
        <w:pStyle w:val="Heading1"/>
      </w:pPr>
      <w:r>
        <w:t>Decision triggers and downside</w:t>
      </w:r>
    </w:p>
    <w:p>
      <w:r>
        <w:t>The committee should assess the following tests together. A favourable price does not compensate for a broken operating thesis. These are proposed review rules, not automatic trading instructions.</w:t>
      </w:r>
    </w:p>
    <w:tbl>
      <w:tblPr>
        <w:tblW w:type="auto" w:w="0"/>
        <w:jc w:val="center"/>
        <w:tblLayout w:type="fixed"/>
        <w:tblLook w:firstColumn="1" w:firstRow="1" w:lastColumn="0" w:lastRow="0" w:noHBand="0" w:noVBand="1" w:val="04A0"/>
      </w:tblPr>
      <w:tblGrid>
        <w:gridCol w:w="2376"/>
        <w:gridCol w:w="2520"/>
        <w:gridCol w:w="2592"/>
        <w:gridCol w:w="2736"/>
      </w:tblGrid>
      <w:tr>
        <w:trPr>
          <w:cantSplit/>
          <w:tblHeader/>
        </w:trPr>
        <w:tc>
          <w:tcPr>
            <w:tcW w:type="dxa" w:w="2376"/>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Underwriting assumption</w:t>
            </w:r>
          </w:p>
        </w:tc>
        <w:tc>
          <w:tcPr>
            <w:tcW w:type="dxa" w:w="2520"/>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Evidence to inspect</w:t>
            </w:r>
          </w:p>
        </w:tc>
        <w:tc>
          <w:tcPr>
            <w:tcW w:type="dxa" w:w="2592"/>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What invalidates it</w:t>
            </w:r>
          </w:p>
        </w:tc>
        <w:tc>
          <w:tcPr>
            <w:tcW w:type="dxa" w:w="2736"/>
            <w:vAlign w:val="center"/>
            <w:shd w:fill="282A2C"/>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b/>
                <w:color w:val="FFFFFF"/>
                <w:sz w:val="19"/>
              </w:rPr>
              <w:t>Decision consequence</w:t>
            </w:r>
          </w:p>
        </w:tc>
      </w:tr>
      <w:tr>
        <w:trPr>
          <w:cantSplit/>
        </w:trPr>
        <w:tc>
          <w:tcPr>
            <w:tcW w:type="dxa" w:w="237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Delivery supports the earnings path</w:t>
            </w:r>
          </w:p>
        </w:tc>
        <w:tc>
          <w:tcPr>
            <w:tcW w:type="dxa" w:w="252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Recognised sales, project timing and guidance [1, 2]</w:t>
            </w:r>
          </w:p>
        </w:tc>
        <w:tc>
          <w:tcPr>
            <w:tcW w:type="dxa" w:w="2592"/>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Repeated deferrals without an offsetting recovery</w:t>
            </w:r>
          </w:p>
        </w:tc>
        <w:tc>
          <w:tcPr>
            <w:tcW w:type="dxa" w:w="273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Cut earnings and rerun entry valuation</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Earnings convert into durable cash</w:t>
            </w:r>
          </w:p>
        </w:tc>
        <w:tc>
          <w:tcPr>
            <w:tcW w:type="dxa" w:w="252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Cash flow bridge and working capital balances [1]</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Cash weakens after timing benefits reverse</w:t>
            </w:r>
          </w:p>
        </w:tc>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Reduce confidence in cash based valuation</w:t>
            </w:r>
          </w:p>
        </w:tc>
      </w:tr>
      <w:tr>
        <w:trPr>
          <w:cantSplit/>
        </w:trPr>
        <w:tc>
          <w:tcPr>
            <w:tcW w:type="dxa" w:w="237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The entry offers sufficient return</w:t>
            </w:r>
          </w:p>
        </w:tc>
        <w:tc>
          <w:tcPr>
            <w:tcW w:type="dxa" w:w="2520"/>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EPS and multiple assumptions on page 2</w:t>
            </w:r>
          </w:p>
        </w:tc>
        <w:tc>
          <w:tcPr>
            <w:tcW w:type="dxa" w:w="2592"/>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Base price return remains below 15%</w:t>
            </w:r>
          </w:p>
        </w:tc>
        <w:tc>
          <w:tcPr>
            <w:tcW w:type="dxa" w:w="2736"/>
            <w:vAlign w:val="center"/>
            <w:shd w:fill="F5F5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Keep on watchlist or require a lower entry</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UIG earns its total consideration</w:t>
            </w:r>
          </w:p>
        </w:tc>
        <w:tc>
          <w:tcPr>
            <w:tcW w:type="dxa" w:w="252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Closing terms, earnout tests and integration evidence [3]</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Cost rises without matching sustainable earnings</w:t>
            </w:r>
          </w:p>
        </w:tc>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before="40" w:line="259" w:lineRule="auto"/>
            </w:pPr>
            <w:r>
              <w:rPr>
                <w:sz w:val="19"/>
              </w:rPr>
              <w:t>Reassess capital allocation and accretion</w:t>
            </w:r>
          </w:p>
        </w:tc>
      </w:tr>
    </w:tbl>
    <w:p>
      <w:pPr>
        <w:spacing w:after="0"/>
      </w:pPr>
    </w:p>
    <w:p>
      <w:pPr>
        <w:pStyle w:val="Heading2"/>
      </w:pPr>
      <w:r>
        <w:t>The strongest contrary case</w:t>
      </w:r>
    </w:p>
    <w:p>
      <w:r>
        <w:t>The downside can arrive through earnings and valuation simultaneously. Customer deployment delays may slow revenue recognition while expansion costs persist. Buyers with greater bargaining power can shift execution risk to suppliers. The filing describes backlog deferral and cancellation rights and exposure to long term fixed price contracts. [2] Our downside case captures the combined effect of flat earnings and a lower multiple; it is not a worst case or a loss limit.</w:t>
      </w:r>
    </w:p>
    <w:p>
      <w:pPr>
        <w:pStyle w:val="Heading2"/>
      </w:pPr>
      <w:r>
        <w:t>Catalysts that can change the evidence</w:t>
      </w:r>
    </w:p>
    <w:p>
      <w:r>
        <w:t>The next quarterly results should help test delivery, margin conversion and cash quality. The UIG closing and subsequent integration updates can clarify the capital commitment. The next annual filing provides an opportunity to compare backlog with recognised revenue. Order disclosure has been curtailed, so avoid interpreting missing quarterly data as confirmation of demand. [4]</w:t>
      </w:r>
    </w:p>
    <w:p>
      <w:pPr>
        <w:pStyle w:val="Heading2"/>
      </w:pPr>
      <w:r>
        <w:t>Review before committing capital</w:t>
      </w:r>
    </w:p>
    <w:p>
      <w:r>
        <w:t>Refresh the executable market price and valuation date; reconcile adjusted earnings with GAAP; challenge the 30x Base multiple against growth durability and relevant peers; and assess portfolio exposure separately. Approve a position only after these checks support the required return. This brief does not assign a position size.</w:t>
      </w:r>
    </w:p>
    <w:p>
      <w:r>
        <w:br w:type="page"/>
      </w:r>
    </w:p>
    <w:p>
      <w:pPr>
        <w:pStyle w:val="Heading1"/>
      </w:pPr>
      <w:r>
        <w:t>Evidence and open questions</w:t>
      </w:r>
    </w:p>
    <w:p>
      <w:r>
        <w:t>Numbered references identify the primary evidence used in this brief. The original documents retain their full definitions, reconciliations and qualifications. Links below open the source rather than a general library page.</w:t>
      </w:r>
    </w:p>
    <w:p>
      <w:pPr>
        <w:pStyle w:val="Heading2"/>
      </w:pPr>
      <w:r>
        <w:t>1  Vertiv Q2 2026 earnings release</w:t>
      </w:r>
    </w:p>
    <w:p>
      <w:r>
        <w:t>29 July 2026. pp. 1–2, results and guidance; p. 7, cash flows.</w:t>
      </w:r>
    </w:p>
    <w:p>
      <w:hyperlink r:id="rId11">
        <w:r>
          <w:rPr>
            <w:color w:val="365571"/>
          </w:rPr>
          <w:t>Open primary source</w:t>
        </w:r>
      </w:hyperlink>
    </w:p>
    <w:p>
      <w:pPr>
        <w:pStyle w:val="Heading2"/>
      </w:pPr>
      <w:r>
        <w:t>2  Vertiv 2025 Form 10 K</w:t>
      </w:r>
    </w:p>
    <w:p>
      <w:r>
        <w:t>13 February 2026. Item 1, Backlog; Item 1A, customer and contract risks.</w:t>
      </w:r>
    </w:p>
    <w:p>
      <w:hyperlink r:id="rId12">
        <w:r>
          <w:rPr>
            <w:color w:val="365571"/>
          </w:rPr>
          <w:t>Open primary source</w:t>
        </w:r>
      </w:hyperlink>
    </w:p>
    <w:p>
      <w:pPr>
        <w:pStyle w:val="Heading2"/>
      </w:pPr>
      <w:r>
        <w:t>3  Vertiv agreement to acquire UtilityInnovation Group</w:t>
      </w:r>
    </w:p>
    <w:p>
      <w:r>
        <w:t>2 September 2026. Transaction consideration and closing conditions.</w:t>
      </w:r>
    </w:p>
    <w:p>
      <w:hyperlink r:id="rId13">
        <w:r>
          <w:rPr>
            <w:color w:val="365571"/>
          </w:rPr>
          <w:t>Open primary source</w:t>
        </w:r>
      </w:hyperlink>
    </w:p>
    <w:p>
      <w:pPr>
        <w:pStyle w:val="Heading2"/>
      </w:pPr>
      <w:r>
        <w:t>4  Vertiv Q4 2025 results presentation</w:t>
      </w:r>
    </w:p>
    <w:p>
      <w:r>
        <w:t>11 February 2026. Slide 26, orders disclosure policy.</w:t>
      </w:r>
    </w:p>
    <w:p>
      <w:hyperlink r:id="rId14">
        <w:r>
          <w:rPr>
            <w:color w:val="365571"/>
          </w:rPr>
          <w:t>Open primary source</w:t>
        </w:r>
      </w:hyperlink>
    </w:p>
    <w:p>
      <w:pPr>
        <w:pStyle w:val="Heading2"/>
      </w:pPr>
      <w:r>
        <w:t>Questions that remain open</w:t>
      </w:r>
    </w:p>
    <w:p>
      <w:r>
        <w:t>How much of the next year’s deliveries is supported by firm, executable project schedules? What cash profile remains after working capital timing normalises? What incremental returns does UIG earn after integration costs and contingent consideration? Which evidence supports the Base multiple without relying on further rerating?</w:t>
      </w:r>
    </w:p>
    <w:p>
      <w:pPr>
        <w:pStyle w:val="Heading2"/>
      </w:pPr>
      <w:r>
        <w:t>Definitions and scope</w:t>
      </w:r>
    </w:p>
    <w:p>
      <w:r>
        <w:t>Adjusted EPS, adjusted operating margin and adjusted free cash flow are company defined non GAAP measures. [1] The three valuation cases, entry threshold and review rules are original illustrative analysis. No proprietary consensus feed, live quote or portfolio mandate is assumed. The evidence cutoff is 21 September 2026; later events require an update.</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Vertiv IC brief  ·  21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PORTRAIT RESEARCH    /    EASEL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6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ec.gov/Archives/edgar/data/1674101/000162828026050323/q22026exhibit991vrt07292026.htm" TargetMode="External"/><Relationship Id="rId12" Type="http://schemas.openxmlformats.org/officeDocument/2006/relationships/hyperlink" Target="https://www.sec.gov/Archives/edgar/data/1674101/000167410126000008/vrt-20251231.htm" TargetMode="External"/><Relationship Id="rId13" Type="http://schemas.openxmlformats.org/officeDocument/2006/relationships/hyperlink" Target="https://investors.vertiv.com/news/news-details/2026/Vertiv-Announces-Agreement-to-Acquire-UtilityInnovation-Group-to-Accelerate-Time-to-Power-for-AI-Data-Centers/default.aspx" TargetMode="External"/><Relationship Id="rId14" Type="http://schemas.openxmlformats.org/officeDocument/2006/relationships/hyperlink" Target="https://s205.q4cdn.com/554782763/files/doc_financials/2025/q4/Vertiv_Fourth-Quarter-2025-Results-Presentation.pdf#page=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Vertiv Investment Committee Brief</dc:title>
  <dc:subject>Illustrative investment underwriting with cited public evidence</dc:subject>
  <dc:creator>Portrait Research</dc:creator>
  <cp:keywords/>
  <dc:description>generated by python-docx</dc:description>
  <cp:lastModifiedBy/>
  <cp:revision>1</cp:revision>
  <dcterms:created xsi:type="dcterms:W3CDTF">2013-12-23T23:15:00Z</dcterms:created>
  <dcterms:modified xsi:type="dcterms:W3CDTF">2013-12-23T23:15:00Z</dcterms:modified>
  <cp:category/>
</cp:coreProperties>
</file>